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EC" w:rsidRDefault="009843EC" w:rsidP="009843EC">
      <w:pPr>
        <w:tabs>
          <w:tab w:val="left" w:pos="2160"/>
        </w:tabs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</w:p>
    <w:p w:rsidR="009843EC" w:rsidRPr="00E82C25" w:rsidRDefault="009843EC" w:rsidP="009843EC">
      <w:pPr>
        <w:tabs>
          <w:tab w:val="left" w:pos="2160"/>
        </w:tabs>
        <w:jc w:val="center"/>
        <w:rPr>
          <w:rFonts w:cs="Arial"/>
          <w:b/>
          <w:sz w:val="32"/>
          <w:szCs w:val="32"/>
        </w:rPr>
      </w:pPr>
      <w:r w:rsidRPr="00E82C25">
        <w:rPr>
          <w:rFonts w:cs="Arial"/>
          <w:b/>
          <w:sz w:val="32"/>
          <w:szCs w:val="32"/>
        </w:rPr>
        <w:t xml:space="preserve">Contract Correspondence Transmittal </w:t>
      </w:r>
      <w:r>
        <w:rPr>
          <w:rFonts w:cs="Arial"/>
          <w:b/>
          <w:sz w:val="32"/>
          <w:szCs w:val="32"/>
        </w:rPr>
        <w:t>(CCT)</w:t>
      </w:r>
    </w:p>
    <w:p w:rsidR="009843EC" w:rsidRPr="005729BD" w:rsidRDefault="009843EC" w:rsidP="009843EC">
      <w:pPr>
        <w:tabs>
          <w:tab w:val="left" w:pos="2160"/>
        </w:tabs>
        <w:jc w:val="center"/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4"/>
        <w:gridCol w:w="5585"/>
      </w:tblGrid>
      <w:tr w:rsidR="009843EC" w:rsidRPr="005729BD" w:rsidTr="00D44466">
        <w:trPr>
          <w:trHeight w:val="323"/>
        </w:trPr>
        <w:tc>
          <w:tcPr>
            <w:tcW w:w="5344" w:type="dxa"/>
          </w:tcPr>
          <w:p w:rsidR="009843EC" w:rsidRPr="005729BD" w:rsidRDefault="009843EC" w:rsidP="003014A1">
            <w:pPr>
              <w:tabs>
                <w:tab w:val="left" w:pos="2160"/>
              </w:tabs>
              <w:rPr>
                <w:rFonts w:cs="Arial"/>
                <w:szCs w:val="22"/>
              </w:rPr>
            </w:pPr>
            <w:r w:rsidRPr="005729BD">
              <w:rPr>
                <w:rFonts w:cs="Arial"/>
                <w:b/>
                <w:szCs w:val="22"/>
              </w:rPr>
              <w:t xml:space="preserve">CCT Number:  </w:t>
            </w:r>
            <w:r w:rsidR="008B0155" w:rsidRPr="005729BD">
              <w:rPr>
                <w:rFonts w:cs="Arial"/>
                <w:szCs w:val="22"/>
              </w:rPr>
              <w:t>13-0</w:t>
            </w:r>
            <w:r w:rsidR="003014A1">
              <w:rPr>
                <w:rFonts w:cs="Arial"/>
                <w:szCs w:val="22"/>
              </w:rPr>
              <w:t>9</w:t>
            </w:r>
          </w:p>
        </w:tc>
        <w:tc>
          <w:tcPr>
            <w:tcW w:w="5585" w:type="dxa"/>
          </w:tcPr>
          <w:p w:rsidR="009843EC" w:rsidRPr="005729BD" w:rsidRDefault="009843EC" w:rsidP="00125AC2">
            <w:pPr>
              <w:tabs>
                <w:tab w:val="left" w:pos="2160"/>
              </w:tabs>
              <w:rPr>
                <w:rFonts w:cs="Arial"/>
                <w:b/>
                <w:szCs w:val="22"/>
              </w:rPr>
            </w:pPr>
            <w:r w:rsidRPr="005729BD">
              <w:rPr>
                <w:rFonts w:cs="Arial"/>
                <w:b/>
                <w:szCs w:val="22"/>
              </w:rPr>
              <w:t xml:space="preserve">Date of Issue:  </w:t>
            </w:r>
            <w:r w:rsidR="00125AC2">
              <w:rPr>
                <w:rFonts w:cs="Arial"/>
                <w:szCs w:val="22"/>
              </w:rPr>
              <w:t>July 15</w:t>
            </w:r>
            <w:r w:rsidR="00C8108D">
              <w:rPr>
                <w:rFonts w:cs="Arial"/>
                <w:szCs w:val="22"/>
              </w:rPr>
              <w:t>, 2013</w:t>
            </w:r>
          </w:p>
        </w:tc>
      </w:tr>
      <w:tr w:rsidR="009843EC" w:rsidRPr="005729BD" w:rsidTr="00D44466">
        <w:trPr>
          <w:trHeight w:val="350"/>
        </w:trPr>
        <w:tc>
          <w:tcPr>
            <w:tcW w:w="10929" w:type="dxa"/>
            <w:gridSpan w:val="2"/>
          </w:tcPr>
          <w:p w:rsidR="009843EC" w:rsidRPr="005729BD" w:rsidRDefault="009843EC" w:rsidP="006417C2">
            <w:pPr>
              <w:tabs>
                <w:tab w:val="left" w:pos="2160"/>
              </w:tabs>
              <w:rPr>
                <w:rFonts w:cs="Arial"/>
                <w:szCs w:val="22"/>
              </w:rPr>
            </w:pPr>
            <w:r w:rsidRPr="005729BD">
              <w:rPr>
                <w:rFonts w:cs="Arial"/>
                <w:b/>
                <w:szCs w:val="22"/>
              </w:rPr>
              <w:t xml:space="preserve">Division/Branch:  </w:t>
            </w:r>
            <w:r w:rsidRPr="005729BD">
              <w:rPr>
                <w:rFonts w:cs="Arial"/>
                <w:szCs w:val="22"/>
              </w:rPr>
              <w:t>Protection and Permanency</w:t>
            </w:r>
          </w:p>
        </w:tc>
      </w:tr>
      <w:tr w:rsidR="009843EC" w:rsidRPr="005729BD" w:rsidTr="00D44466">
        <w:trPr>
          <w:trHeight w:val="350"/>
        </w:trPr>
        <w:tc>
          <w:tcPr>
            <w:tcW w:w="10929" w:type="dxa"/>
            <w:gridSpan w:val="2"/>
          </w:tcPr>
          <w:p w:rsidR="009843EC" w:rsidRPr="005729BD" w:rsidRDefault="009843EC" w:rsidP="00C10EF4">
            <w:pPr>
              <w:tabs>
                <w:tab w:val="left" w:pos="2160"/>
              </w:tabs>
              <w:rPr>
                <w:rFonts w:cs="Arial"/>
                <w:szCs w:val="22"/>
              </w:rPr>
            </w:pPr>
            <w:r w:rsidRPr="005729BD">
              <w:rPr>
                <w:rFonts w:cs="Arial"/>
                <w:b/>
                <w:szCs w:val="22"/>
              </w:rPr>
              <w:t xml:space="preserve">Key Words/Phrases: </w:t>
            </w:r>
            <w:r w:rsidRPr="005729BD">
              <w:rPr>
                <w:rFonts w:cs="Arial"/>
                <w:szCs w:val="22"/>
              </w:rPr>
              <w:t xml:space="preserve"> </w:t>
            </w:r>
            <w:r w:rsidR="00C10EF4">
              <w:rPr>
                <w:rFonts w:cs="Arial"/>
                <w:szCs w:val="22"/>
              </w:rPr>
              <w:t>Religious Affiliation in PCC Tracking</w:t>
            </w:r>
            <w:r w:rsidR="00C8108D">
              <w:rPr>
                <w:rFonts w:cs="Arial"/>
                <w:szCs w:val="22"/>
              </w:rPr>
              <w:t xml:space="preserve"> </w:t>
            </w:r>
          </w:p>
        </w:tc>
      </w:tr>
    </w:tbl>
    <w:p w:rsidR="00011B6B" w:rsidRPr="005729BD" w:rsidRDefault="00011B6B" w:rsidP="006417C2">
      <w:pPr>
        <w:rPr>
          <w:rFonts w:cs="Arial"/>
          <w:szCs w:val="22"/>
        </w:rPr>
      </w:pPr>
    </w:p>
    <w:p w:rsidR="00F60FAC" w:rsidRPr="00776209" w:rsidRDefault="00F60FAC" w:rsidP="00F60FAC">
      <w:pPr>
        <w:rPr>
          <w:rFonts w:cs="Arial"/>
          <w:szCs w:val="22"/>
        </w:rPr>
      </w:pPr>
      <w:r w:rsidRPr="00776209">
        <w:rPr>
          <w:rFonts w:cs="Arial"/>
          <w:szCs w:val="22"/>
        </w:rPr>
        <w:t>Dear PCP/PCC Provider,</w:t>
      </w:r>
    </w:p>
    <w:p w:rsidR="00C8108D" w:rsidRPr="00776209" w:rsidRDefault="00C8108D" w:rsidP="00C8108D">
      <w:pPr>
        <w:rPr>
          <w:rFonts w:cs="Arial"/>
          <w:szCs w:val="22"/>
        </w:rPr>
      </w:pPr>
    </w:p>
    <w:p w:rsidR="003014A1" w:rsidRDefault="003014A1" w:rsidP="003014A1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 xml:space="preserve">This CCT is to notify PCC Admin/Users that there was a </w:t>
      </w:r>
      <w:r w:rsidRPr="003014A1">
        <w:rPr>
          <w:rFonts w:cs="Arial"/>
          <w:szCs w:val="22"/>
        </w:rPr>
        <w:t xml:space="preserve">TWIST </w:t>
      </w:r>
      <w:r w:rsidR="00C10EF4">
        <w:rPr>
          <w:rFonts w:cs="Arial"/>
          <w:szCs w:val="22"/>
        </w:rPr>
        <w:t>r</w:t>
      </w:r>
      <w:r w:rsidRPr="003014A1">
        <w:rPr>
          <w:rFonts w:cs="Arial"/>
          <w:szCs w:val="22"/>
        </w:rPr>
        <w:t xml:space="preserve">elease that </w:t>
      </w:r>
      <w:r>
        <w:rPr>
          <w:rFonts w:cs="Arial"/>
          <w:szCs w:val="22"/>
        </w:rPr>
        <w:t>went into effect on</w:t>
      </w:r>
      <w:r w:rsidRPr="003014A1">
        <w:rPr>
          <w:rFonts w:cs="Arial"/>
          <w:szCs w:val="22"/>
        </w:rPr>
        <w:t xml:space="preserve"> Saturday, July 13</w:t>
      </w:r>
      <w:r w:rsidRPr="003014A1">
        <w:rPr>
          <w:rFonts w:cs="Arial"/>
          <w:szCs w:val="22"/>
          <w:vertAlign w:val="superscript"/>
        </w:rPr>
        <w:t>th</w:t>
      </w:r>
      <w:r w:rsidRPr="003014A1">
        <w:rPr>
          <w:rFonts w:cs="Arial"/>
          <w:szCs w:val="22"/>
        </w:rPr>
        <w:t>, contain</w:t>
      </w:r>
      <w:r>
        <w:rPr>
          <w:rFonts w:cs="Arial"/>
          <w:szCs w:val="22"/>
        </w:rPr>
        <w:t>ing</w:t>
      </w:r>
      <w:r w:rsidRPr="003014A1">
        <w:rPr>
          <w:rFonts w:cs="Arial"/>
          <w:szCs w:val="22"/>
        </w:rPr>
        <w:t xml:space="preserve"> a change to PCC Tracking on the </w:t>
      </w:r>
      <w:r w:rsidR="00C10EF4">
        <w:rPr>
          <w:rFonts w:cs="Arial"/>
          <w:szCs w:val="22"/>
        </w:rPr>
        <w:t>f</w:t>
      </w:r>
      <w:r w:rsidRPr="003014A1">
        <w:rPr>
          <w:rFonts w:cs="Arial"/>
          <w:szCs w:val="22"/>
        </w:rPr>
        <w:t xml:space="preserve">oster </w:t>
      </w:r>
      <w:r w:rsidR="00C10EF4">
        <w:rPr>
          <w:rFonts w:cs="Arial"/>
          <w:szCs w:val="22"/>
        </w:rPr>
        <w:t>h</w:t>
      </w:r>
      <w:r w:rsidRPr="003014A1">
        <w:rPr>
          <w:rFonts w:cs="Arial"/>
          <w:szCs w:val="22"/>
        </w:rPr>
        <w:t xml:space="preserve">ome </w:t>
      </w:r>
      <w:r w:rsidR="00C10EF4">
        <w:rPr>
          <w:rFonts w:cs="Arial"/>
          <w:szCs w:val="22"/>
        </w:rPr>
        <w:t>d</w:t>
      </w:r>
      <w:r w:rsidRPr="003014A1">
        <w:rPr>
          <w:rFonts w:cs="Arial"/>
          <w:szCs w:val="22"/>
        </w:rPr>
        <w:t xml:space="preserve">etails </w:t>
      </w:r>
      <w:r w:rsidR="00C10EF4">
        <w:rPr>
          <w:rFonts w:cs="Arial"/>
          <w:szCs w:val="22"/>
        </w:rPr>
        <w:t>p</w:t>
      </w:r>
      <w:r w:rsidRPr="003014A1">
        <w:rPr>
          <w:rFonts w:cs="Arial"/>
          <w:szCs w:val="22"/>
        </w:rPr>
        <w:t xml:space="preserve">age. </w:t>
      </w:r>
      <w:r>
        <w:rPr>
          <w:rFonts w:cs="Arial"/>
          <w:szCs w:val="22"/>
        </w:rPr>
        <w:t xml:space="preserve"> A new field titled </w:t>
      </w:r>
      <w:r w:rsidR="00C10EF4">
        <w:rPr>
          <w:rFonts w:cs="Arial"/>
          <w:szCs w:val="22"/>
        </w:rPr>
        <w:t>“</w:t>
      </w:r>
      <w:r>
        <w:rPr>
          <w:rFonts w:cs="Arial"/>
          <w:szCs w:val="22"/>
        </w:rPr>
        <w:t>Religious Affiliation</w:t>
      </w:r>
      <w:r w:rsidR="00C10EF4">
        <w:rPr>
          <w:rFonts w:cs="Arial"/>
          <w:szCs w:val="22"/>
        </w:rPr>
        <w:t>”</w:t>
      </w:r>
      <w:r>
        <w:rPr>
          <w:rFonts w:cs="Arial"/>
          <w:szCs w:val="22"/>
        </w:rPr>
        <w:t xml:space="preserve"> has been added to the PCC </w:t>
      </w:r>
      <w:r w:rsidR="00C10EF4">
        <w:rPr>
          <w:rFonts w:cs="Arial"/>
          <w:szCs w:val="22"/>
        </w:rPr>
        <w:t>f</w:t>
      </w:r>
      <w:r>
        <w:rPr>
          <w:rFonts w:cs="Arial"/>
          <w:szCs w:val="22"/>
        </w:rPr>
        <w:t xml:space="preserve">oster </w:t>
      </w:r>
      <w:r w:rsidR="00C10EF4">
        <w:rPr>
          <w:rFonts w:cs="Arial"/>
          <w:szCs w:val="22"/>
        </w:rPr>
        <w:t>h</w:t>
      </w:r>
      <w:r>
        <w:rPr>
          <w:rFonts w:cs="Arial"/>
          <w:szCs w:val="22"/>
        </w:rPr>
        <w:t xml:space="preserve">ome </w:t>
      </w:r>
      <w:r w:rsidR="00C10EF4">
        <w:rPr>
          <w:rFonts w:cs="Arial"/>
          <w:szCs w:val="22"/>
        </w:rPr>
        <w:t>c</w:t>
      </w:r>
      <w:r>
        <w:rPr>
          <w:rFonts w:cs="Arial"/>
          <w:szCs w:val="22"/>
        </w:rPr>
        <w:t xml:space="preserve">aregiver screen for both primary and secondary caregivers.  If the religion chosen is “other,” then information must be entered in the short text field.  </w:t>
      </w:r>
      <w:r w:rsidRPr="003014A1">
        <w:rPr>
          <w:rFonts w:cs="Arial"/>
          <w:szCs w:val="22"/>
        </w:rPr>
        <w:t xml:space="preserve">The </w:t>
      </w:r>
      <w:r w:rsidR="00C10EF4">
        <w:rPr>
          <w:rFonts w:cs="Arial"/>
          <w:szCs w:val="22"/>
        </w:rPr>
        <w:t>r</w:t>
      </w:r>
      <w:r w:rsidRPr="003014A1">
        <w:rPr>
          <w:rFonts w:cs="Arial"/>
          <w:szCs w:val="22"/>
        </w:rPr>
        <w:t xml:space="preserve">eligious </w:t>
      </w:r>
      <w:r w:rsidR="00C10EF4">
        <w:rPr>
          <w:rFonts w:cs="Arial"/>
          <w:szCs w:val="22"/>
        </w:rPr>
        <w:t>a</w:t>
      </w:r>
      <w:r w:rsidRPr="003014A1">
        <w:rPr>
          <w:rFonts w:cs="Arial"/>
          <w:szCs w:val="22"/>
        </w:rPr>
        <w:t xml:space="preserve">ffiliation is </w:t>
      </w:r>
      <w:r>
        <w:rPr>
          <w:rFonts w:cs="Arial"/>
          <w:szCs w:val="22"/>
        </w:rPr>
        <w:t xml:space="preserve">now </w:t>
      </w:r>
      <w:r w:rsidRPr="003014A1">
        <w:rPr>
          <w:rFonts w:cs="Arial"/>
          <w:szCs w:val="22"/>
        </w:rPr>
        <w:t xml:space="preserve">a required field when adding or updating a caregiver. </w:t>
      </w:r>
      <w:r w:rsidR="00D76B92">
        <w:rPr>
          <w:rFonts w:cs="Arial"/>
          <w:szCs w:val="22"/>
        </w:rPr>
        <w:t xml:space="preserve">This change is in line with the </w:t>
      </w:r>
      <w:r w:rsidR="00D76B92" w:rsidRPr="00D76B92">
        <w:rPr>
          <w:rFonts w:cs="Arial"/>
          <w:szCs w:val="22"/>
        </w:rPr>
        <w:t>Therapeutic Foster Home Snapshot</w:t>
      </w:r>
      <w:r w:rsidR="00D76B92">
        <w:rPr>
          <w:rFonts w:cs="Arial"/>
          <w:szCs w:val="22"/>
        </w:rPr>
        <w:t xml:space="preserve"> that was issued in CCT 13-07 last week.</w:t>
      </w:r>
    </w:p>
    <w:p w:rsidR="00D76B92" w:rsidRPr="003014A1" w:rsidRDefault="00D76B92" w:rsidP="003014A1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Please ensure that this CCT is distributed to all PCC Tracking Admin/Users in your agency.</w:t>
      </w:r>
    </w:p>
    <w:p w:rsidR="00C8108D" w:rsidRPr="00776209" w:rsidRDefault="003014A1" w:rsidP="00C8108D">
      <w:pPr>
        <w:spacing w:after="240"/>
        <w:rPr>
          <w:rFonts w:cs="Arial"/>
          <w:color w:val="1F497D"/>
          <w:szCs w:val="22"/>
        </w:rPr>
      </w:pPr>
      <w:r>
        <w:rPr>
          <w:rFonts w:cs="Arial"/>
          <w:szCs w:val="22"/>
        </w:rPr>
        <w:t xml:space="preserve">If you have any questions regarding this </w:t>
      </w:r>
      <w:r w:rsidR="00C10EF4">
        <w:rPr>
          <w:rFonts w:cs="Arial"/>
          <w:szCs w:val="22"/>
        </w:rPr>
        <w:t>update</w:t>
      </w:r>
      <w:r>
        <w:rPr>
          <w:rFonts w:cs="Arial"/>
          <w:szCs w:val="22"/>
        </w:rPr>
        <w:t xml:space="preserve">, you may contact the </w:t>
      </w:r>
      <w:r w:rsidRPr="003014A1">
        <w:rPr>
          <w:rFonts w:cs="Arial"/>
          <w:szCs w:val="22"/>
        </w:rPr>
        <w:t>PCC Tracking Administrator</w:t>
      </w:r>
      <w:r>
        <w:rPr>
          <w:rFonts w:cs="Arial"/>
          <w:szCs w:val="22"/>
        </w:rPr>
        <w:t xml:space="preserve">, </w:t>
      </w:r>
      <w:hyperlink r:id="rId8" w:history="1">
        <w:r w:rsidRPr="00017412">
          <w:rPr>
            <w:rStyle w:val="Hyperlink"/>
            <w:rFonts w:cs="Arial"/>
            <w:szCs w:val="22"/>
          </w:rPr>
          <w:t>Teri.Mason@ky.gov</w:t>
        </w:r>
      </w:hyperlink>
      <w:r>
        <w:rPr>
          <w:rFonts w:cs="Arial"/>
          <w:szCs w:val="22"/>
        </w:rPr>
        <w:t>.</w:t>
      </w:r>
    </w:p>
    <w:p w:rsidR="00F60FAC" w:rsidRDefault="00F60FAC" w:rsidP="00F60FAC">
      <w:pPr>
        <w:rPr>
          <w:rFonts w:cs="Arial"/>
          <w:sz w:val="24"/>
        </w:rPr>
      </w:pPr>
    </w:p>
    <w:sectPr w:rsidR="00F60FAC" w:rsidSect="006417C2">
      <w:headerReference w:type="first" r:id="rId9"/>
      <w:footerReference w:type="first" r:id="rId10"/>
      <w:pgSz w:w="12240" w:h="15840" w:code="1"/>
      <w:pgMar w:top="1080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A1" w:rsidRDefault="003014A1">
      <w:r>
        <w:separator/>
      </w:r>
    </w:p>
  </w:endnote>
  <w:endnote w:type="continuationSeparator" w:id="0">
    <w:p w:rsidR="003014A1" w:rsidRDefault="0030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A1" w:rsidRDefault="003014A1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F6A256" wp14:editId="05BEB38F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4A1" w:rsidRDefault="003014A1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0397A4D1" wp14:editId="6B9AA576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011B6B" w:rsidRDefault="00011B6B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0397A4D1" wp14:editId="6B9AA576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014A1" w:rsidRPr="00524DAE" w:rsidRDefault="003014A1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A1" w:rsidRDefault="003014A1">
      <w:r>
        <w:separator/>
      </w:r>
    </w:p>
  </w:footnote>
  <w:footnote w:type="continuationSeparator" w:id="0">
    <w:p w:rsidR="003014A1" w:rsidRDefault="00301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A1" w:rsidRDefault="003014A1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0FBE4C" wp14:editId="69042ADF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4A1" w:rsidRDefault="003014A1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6EF4829E" wp14:editId="3543D40C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2A9286" wp14:editId="2A43E111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011B6B" w:rsidRDefault="00011B6B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6EF4829E" wp14:editId="3543D40C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62A9286" wp14:editId="2A43E111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014A1" w:rsidRDefault="003014A1" w:rsidP="00797852">
    <w:pPr>
      <w:tabs>
        <w:tab w:val="center" w:pos="5264"/>
      </w:tabs>
      <w:spacing w:line="220" w:lineRule="atLeast"/>
      <w:rPr>
        <w:sz w:val="20"/>
      </w:rPr>
    </w:pPr>
  </w:p>
  <w:p w:rsidR="003014A1" w:rsidRDefault="003014A1" w:rsidP="00797852">
    <w:pPr>
      <w:spacing w:line="220" w:lineRule="atLeast"/>
      <w:rPr>
        <w:sz w:val="20"/>
      </w:rPr>
    </w:pPr>
  </w:p>
  <w:p w:rsidR="003014A1" w:rsidRDefault="003014A1" w:rsidP="00797852">
    <w:pPr>
      <w:spacing w:line="260" w:lineRule="atLeast"/>
      <w:rPr>
        <w:rFonts w:ascii="TradeGothic LH BoldExtended" w:hAnsi="TradeGothic LH BoldExtended"/>
        <w:sz w:val="20"/>
      </w:rPr>
    </w:pPr>
  </w:p>
  <w:p w:rsidR="003014A1" w:rsidRDefault="003014A1" w:rsidP="00797852">
    <w:pPr>
      <w:spacing w:line="260" w:lineRule="atLeast"/>
      <w:rPr>
        <w:sz w:val="20"/>
      </w:rPr>
    </w:pPr>
  </w:p>
  <w:p w:rsidR="003014A1" w:rsidRDefault="003014A1" w:rsidP="00797852">
    <w:pPr>
      <w:spacing w:line="260" w:lineRule="atLeast"/>
      <w:rPr>
        <w:sz w:val="20"/>
      </w:rPr>
    </w:pPr>
  </w:p>
  <w:p w:rsidR="003014A1" w:rsidRDefault="003014A1" w:rsidP="00797852">
    <w:pPr>
      <w:spacing w:line="140" w:lineRule="atLeast"/>
      <w:rPr>
        <w:sz w:val="20"/>
      </w:rPr>
    </w:pPr>
  </w:p>
  <w:p w:rsidR="003014A1" w:rsidRDefault="003014A1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3014A1" w:rsidRDefault="003014A1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3014A1" w:rsidRDefault="003014A1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ED8EDE" wp14:editId="378EBD08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4A1" w:rsidRDefault="003014A1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3014A1" w:rsidRDefault="003014A1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3014A1" w:rsidRDefault="003014A1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3014A1" w:rsidRDefault="003014A1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3014A1" w:rsidRDefault="003014A1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011B6B" w:rsidRDefault="00011B6B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011B6B" w:rsidRDefault="00011B6B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011B6B" w:rsidRDefault="00011B6B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011B6B" w:rsidRDefault="00011B6B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011B6B" w:rsidRDefault="00011B6B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3014A1" w:rsidRDefault="003014A1" w:rsidP="0069732D">
    <w:pPr>
      <w:pStyle w:val="GovSecretaryDeputySecname"/>
      <w:tabs>
        <w:tab w:val="clear" w:pos="10944"/>
        <w:tab w:val="center" w:pos="9360"/>
      </w:tabs>
      <w:ind w:right="-267"/>
    </w:pPr>
    <w:r>
      <w:t>Steven L. Beshear</w:t>
    </w:r>
    <w:r>
      <w:tab/>
      <w:t xml:space="preserve">                     Audrey Tayse Haynes</w:t>
    </w:r>
  </w:p>
  <w:p w:rsidR="003014A1" w:rsidRDefault="003014A1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3014A1" w:rsidRDefault="003014A1" w:rsidP="00797852">
    <w:pPr>
      <w:pStyle w:val="GovSecretaryDeputySecname"/>
    </w:pPr>
  </w:p>
  <w:p w:rsidR="003014A1" w:rsidRDefault="003014A1" w:rsidP="00797852">
    <w:pPr>
      <w:pStyle w:val="GovSecretaryDeputySectilte"/>
    </w:pPr>
    <w:r>
      <w:tab/>
    </w:r>
  </w:p>
  <w:p w:rsidR="003014A1" w:rsidRPr="00797852" w:rsidRDefault="003014A1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4ED"/>
    <w:multiLevelType w:val="hybridMultilevel"/>
    <w:tmpl w:val="3B103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511CDC"/>
    <w:multiLevelType w:val="hybridMultilevel"/>
    <w:tmpl w:val="85BCF6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8B4C50"/>
    <w:multiLevelType w:val="hybridMultilevel"/>
    <w:tmpl w:val="D980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C36D02"/>
    <w:multiLevelType w:val="hybridMultilevel"/>
    <w:tmpl w:val="7990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E2717"/>
    <w:multiLevelType w:val="hybridMultilevel"/>
    <w:tmpl w:val="A2F86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4FA7"/>
    <w:multiLevelType w:val="multilevel"/>
    <w:tmpl w:val="1A92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12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15"/>
  </w:num>
  <w:num w:numId="13">
    <w:abstractNumId w:val="13"/>
  </w:num>
  <w:num w:numId="14">
    <w:abstractNumId w:val="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1B6B"/>
    <w:rsid w:val="00014697"/>
    <w:rsid w:val="00020F68"/>
    <w:rsid w:val="000338B5"/>
    <w:rsid w:val="00064DEC"/>
    <w:rsid w:val="00072FBF"/>
    <w:rsid w:val="00092124"/>
    <w:rsid w:val="000A14BD"/>
    <w:rsid w:val="000C65CA"/>
    <w:rsid w:val="000C668E"/>
    <w:rsid w:val="000E3849"/>
    <w:rsid w:val="000E6D79"/>
    <w:rsid w:val="00125AC2"/>
    <w:rsid w:val="0017490F"/>
    <w:rsid w:val="00181E52"/>
    <w:rsid w:val="00191703"/>
    <w:rsid w:val="001934E5"/>
    <w:rsid w:val="001C1A2A"/>
    <w:rsid w:val="001D6A40"/>
    <w:rsid w:val="001F3FE8"/>
    <w:rsid w:val="00202F1C"/>
    <w:rsid w:val="002041FF"/>
    <w:rsid w:val="00220749"/>
    <w:rsid w:val="002257A4"/>
    <w:rsid w:val="00225B33"/>
    <w:rsid w:val="0022604C"/>
    <w:rsid w:val="00227F3F"/>
    <w:rsid w:val="00237F32"/>
    <w:rsid w:val="0024483B"/>
    <w:rsid w:val="002557FB"/>
    <w:rsid w:val="00266687"/>
    <w:rsid w:val="00280D3D"/>
    <w:rsid w:val="002B6B4A"/>
    <w:rsid w:val="002C690C"/>
    <w:rsid w:val="002D29D3"/>
    <w:rsid w:val="002D5CBA"/>
    <w:rsid w:val="002E26B7"/>
    <w:rsid w:val="002E617B"/>
    <w:rsid w:val="003014A1"/>
    <w:rsid w:val="003134FB"/>
    <w:rsid w:val="00314852"/>
    <w:rsid w:val="00320379"/>
    <w:rsid w:val="00322E22"/>
    <w:rsid w:val="00332C5E"/>
    <w:rsid w:val="003758DD"/>
    <w:rsid w:val="00387552"/>
    <w:rsid w:val="00394C5A"/>
    <w:rsid w:val="003C0AEC"/>
    <w:rsid w:val="003C10B5"/>
    <w:rsid w:val="003C5712"/>
    <w:rsid w:val="003D1987"/>
    <w:rsid w:val="003D5657"/>
    <w:rsid w:val="003F166A"/>
    <w:rsid w:val="0040043A"/>
    <w:rsid w:val="00427A0E"/>
    <w:rsid w:val="00436673"/>
    <w:rsid w:val="00494476"/>
    <w:rsid w:val="004A082C"/>
    <w:rsid w:val="004A3652"/>
    <w:rsid w:val="004B348F"/>
    <w:rsid w:val="005135DD"/>
    <w:rsid w:val="0052108B"/>
    <w:rsid w:val="00524DAE"/>
    <w:rsid w:val="00532EBB"/>
    <w:rsid w:val="00541EA0"/>
    <w:rsid w:val="005524AC"/>
    <w:rsid w:val="00560F32"/>
    <w:rsid w:val="00567524"/>
    <w:rsid w:val="005729BD"/>
    <w:rsid w:val="00585967"/>
    <w:rsid w:val="005922E1"/>
    <w:rsid w:val="005973D5"/>
    <w:rsid w:val="005A073E"/>
    <w:rsid w:val="005A7618"/>
    <w:rsid w:val="005B2FBA"/>
    <w:rsid w:val="005B700D"/>
    <w:rsid w:val="005D1B42"/>
    <w:rsid w:val="005E37B5"/>
    <w:rsid w:val="005F1332"/>
    <w:rsid w:val="00601ECA"/>
    <w:rsid w:val="00625A19"/>
    <w:rsid w:val="00626F38"/>
    <w:rsid w:val="00633FA6"/>
    <w:rsid w:val="0063467E"/>
    <w:rsid w:val="006417C2"/>
    <w:rsid w:val="00641BA5"/>
    <w:rsid w:val="0066589B"/>
    <w:rsid w:val="0069732D"/>
    <w:rsid w:val="006A7CD8"/>
    <w:rsid w:val="006B2951"/>
    <w:rsid w:val="006B3577"/>
    <w:rsid w:val="006B377A"/>
    <w:rsid w:val="006C43DA"/>
    <w:rsid w:val="006C76F7"/>
    <w:rsid w:val="006E13C9"/>
    <w:rsid w:val="007028FC"/>
    <w:rsid w:val="007171EB"/>
    <w:rsid w:val="00741AE2"/>
    <w:rsid w:val="00742CC9"/>
    <w:rsid w:val="007621F7"/>
    <w:rsid w:val="00776209"/>
    <w:rsid w:val="00782992"/>
    <w:rsid w:val="00785D40"/>
    <w:rsid w:val="00792735"/>
    <w:rsid w:val="00797852"/>
    <w:rsid w:val="007A0FC9"/>
    <w:rsid w:val="007B16CD"/>
    <w:rsid w:val="007D217B"/>
    <w:rsid w:val="007F5F6E"/>
    <w:rsid w:val="00814B8C"/>
    <w:rsid w:val="0081658E"/>
    <w:rsid w:val="00835C96"/>
    <w:rsid w:val="008366DE"/>
    <w:rsid w:val="00841387"/>
    <w:rsid w:val="00855591"/>
    <w:rsid w:val="00867DE4"/>
    <w:rsid w:val="00892DFA"/>
    <w:rsid w:val="008A33B7"/>
    <w:rsid w:val="008A414C"/>
    <w:rsid w:val="008B0155"/>
    <w:rsid w:val="008B3A76"/>
    <w:rsid w:val="008B7EFF"/>
    <w:rsid w:val="008C09F2"/>
    <w:rsid w:val="008D02D6"/>
    <w:rsid w:val="008D6F4E"/>
    <w:rsid w:val="008F2A50"/>
    <w:rsid w:val="00912801"/>
    <w:rsid w:val="00923E87"/>
    <w:rsid w:val="00924D99"/>
    <w:rsid w:val="00925134"/>
    <w:rsid w:val="00933459"/>
    <w:rsid w:val="009651EB"/>
    <w:rsid w:val="009652EF"/>
    <w:rsid w:val="009843EC"/>
    <w:rsid w:val="009903D1"/>
    <w:rsid w:val="00992582"/>
    <w:rsid w:val="009B3A9F"/>
    <w:rsid w:val="009B40EE"/>
    <w:rsid w:val="009B7823"/>
    <w:rsid w:val="009E026F"/>
    <w:rsid w:val="009E638F"/>
    <w:rsid w:val="009F65C4"/>
    <w:rsid w:val="00A0563D"/>
    <w:rsid w:val="00A061F8"/>
    <w:rsid w:val="00A07E8E"/>
    <w:rsid w:val="00A15CB9"/>
    <w:rsid w:val="00A269C2"/>
    <w:rsid w:val="00A4613D"/>
    <w:rsid w:val="00A619B0"/>
    <w:rsid w:val="00A6596E"/>
    <w:rsid w:val="00A73643"/>
    <w:rsid w:val="00AB22F3"/>
    <w:rsid w:val="00AC036F"/>
    <w:rsid w:val="00AE21C3"/>
    <w:rsid w:val="00B33CC2"/>
    <w:rsid w:val="00B364EA"/>
    <w:rsid w:val="00B428A3"/>
    <w:rsid w:val="00B434D8"/>
    <w:rsid w:val="00B56785"/>
    <w:rsid w:val="00B8151B"/>
    <w:rsid w:val="00B82F96"/>
    <w:rsid w:val="00B85E7C"/>
    <w:rsid w:val="00BA176E"/>
    <w:rsid w:val="00BC21CE"/>
    <w:rsid w:val="00BC3AD0"/>
    <w:rsid w:val="00BC67F5"/>
    <w:rsid w:val="00BF1D9F"/>
    <w:rsid w:val="00BF3A23"/>
    <w:rsid w:val="00C10849"/>
    <w:rsid w:val="00C10EF4"/>
    <w:rsid w:val="00C120F0"/>
    <w:rsid w:val="00C1319F"/>
    <w:rsid w:val="00C61146"/>
    <w:rsid w:val="00C64E29"/>
    <w:rsid w:val="00C66601"/>
    <w:rsid w:val="00C71490"/>
    <w:rsid w:val="00C8108D"/>
    <w:rsid w:val="00C81A66"/>
    <w:rsid w:val="00C84488"/>
    <w:rsid w:val="00C847BD"/>
    <w:rsid w:val="00C968DA"/>
    <w:rsid w:val="00CC1C59"/>
    <w:rsid w:val="00CE3CE2"/>
    <w:rsid w:val="00D03318"/>
    <w:rsid w:val="00D03565"/>
    <w:rsid w:val="00D04128"/>
    <w:rsid w:val="00D070A4"/>
    <w:rsid w:val="00D35073"/>
    <w:rsid w:val="00D351DF"/>
    <w:rsid w:val="00D3596D"/>
    <w:rsid w:val="00D44466"/>
    <w:rsid w:val="00D544E0"/>
    <w:rsid w:val="00D55AC9"/>
    <w:rsid w:val="00D5798D"/>
    <w:rsid w:val="00D62EDF"/>
    <w:rsid w:val="00D73EAC"/>
    <w:rsid w:val="00D76B92"/>
    <w:rsid w:val="00D90CE7"/>
    <w:rsid w:val="00D9414D"/>
    <w:rsid w:val="00D95B48"/>
    <w:rsid w:val="00D97958"/>
    <w:rsid w:val="00DA318F"/>
    <w:rsid w:val="00DB0D30"/>
    <w:rsid w:val="00DB2256"/>
    <w:rsid w:val="00DD0743"/>
    <w:rsid w:val="00DE2CED"/>
    <w:rsid w:val="00DE6A0B"/>
    <w:rsid w:val="00DE77E4"/>
    <w:rsid w:val="00DF3E1E"/>
    <w:rsid w:val="00DF68FF"/>
    <w:rsid w:val="00E05A62"/>
    <w:rsid w:val="00E20432"/>
    <w:rsid w:val="00E367CE"/>
    <w:rsid w:val="00E407CB"/>
    <w:rsid w:val="00E50F01"/>
    <w:rsid w:val="00E5548F"/>
    <w:rsid w:val="00E67BEF"/>
    <w:rsid w:val="00E926E2"/>
    <w:rsid w:val="00E929A5"/>
    <w:rsid w:val="00E93EA8"/>
    <w:rsid w:val="00EA05E5"/>
    <w:rsid w:val="00EA6DE2"/>
    <w:rsid w:val="00EB0FEF"/>
    <w:rsid w:val="00ED2310"/>
    <w:rsid w:val="00EE34D6"/>
    <w:rsid w:val="00EF4E8E"/>
    <w:rsid w:val="00F0079B"/>
    <w:rsid w:val="00F035C1"/>
    <w:rsid w:val="00F24448"/>
    <w:rsid w:val="00F24449"/>
    <w:rsid w:val="00F27813"/>
    <w:rsid w:val="00F30990"/>
    <w:rsid w:val="00F30C9C"/>
    <w:rsid w:val="00F36945"/>
    <w:rsid w:val="00F60FAC"/>
    <w:rsid w:val="00F625F1"/>
    <w:rsid w:val="00F70416"/>
    <w:rsid w:val="00F75AD4"/>
    <w:rsid w:val="00FB3695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i.Mason@ky.gov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CCT</Memo_x0020_Types>
    <Document_x0020_Year xmlns="25652375-5976-448a-91e2-83c2698bbafa" xsi:nil="true"/>
    <RoutingRule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B25E3E-8531-4E18-B90C-479A6ABED8A3}"/>
</file>

<file path=customXml/itemProps2.xml><?xml version="1.0" encoding="utf-8"?>
<ds:datastoreItem xmlns:ds="http://schemas.openxmlformats.org/officeDocument/2006/customXml" ds:itemID="{7C7E9497-9620-4CA8-93A7-3892C68968B9}"/>
</file>

<file path=customXml/itemProps3.xml><?xml version="1.0" encoding="utf-8"?>
<ds:datastoreItem xmlns:ds="http://schemas.openxmlformats.org/officeDocument/2006/customXml" ds:itemID="{9E117786-4600-499E-A3D6-218D3642E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CCT 13-09 Religious Affiliation in PCC Tracking</dc:title>
  <dc:creator>Beth.Holbrook</dc:creator>
  <cp:lastModifiedBy>lisar.smith</cp:lastModifiedBy>
  <cp:revision>2</cp:revision>
  <cp:lastPrinted>2013-07-15T13:07:00Z</cp:lastPrinted>
  <dcterms:created xsi:type="dcterms:W3CDTF">2013-07-15T14:13:00Z</dcterms:created>
  <dcterms:modified xsi:type="dcterms:W3CDTF">2013-07-15T14:13:00Z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13000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CCT</vt:lpwstr>
  </property>
  <property fmtid="{D5CDD505-2E9C-101B-9397-08002B2CF9AE}" pid="13" name="Types">
    <vt:lpwstr>Memo</vt:lpwstr>
  </property>
</Properties>
</file>